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9A59" w14:textId="1E69ADD9" w:rsidR="004E750B" w:rsidRPr="009822CF" w:rsidRDefault="004E750B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9822CF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UNILASALLISTA</w:t>
      </w:r>
    </w:p>
    <w:p w14:paraId="573F25D6" w14:textId="37CCA4EC" w:rsidR="004E750B" w:rsidRPr="009822CF" w:rsidRDefault="004E750B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9822CF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IES 2820</w:t>
      </w:r>
    </w:p>
    <w:p w14:paraId="318BF866" w14:textId="2011B268" w:rsidR="00211041" w:rsidRDefault="00211041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61F60DA1" w14:textId="65F60E4E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POLÍTICAS ACADÉMICAS ASOCIADAS AL CURRICULO</w:t>
      </w:r>
    </w:p>
    <w:p w14:paraId="2B8FAF3D" w14:textId="42427606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0AB6AD3C" w14:textId="6F37D36E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De acuerdo con lo establecido en las páginas 7 </w:t>
      </w:r>
      <w:r w:rsidR="00C61149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a 10 d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el </w:t>
      </w:r>
      <w:hyperlink r:id="rId7" w:history="1">
        <w:r w:rsidRPr="00F3743D">
          <w:rPr>
            <w:rStyle w:val="Hipervnculo"/>
            <w:rFonts w:ascii="Arial Narrow" w:hAnsi="Arial Narrow" w:cs="Arial"/>
            <w:b/>
            <w:bCs/>
            <w:shd w:val="clear" w:color="auto" w:fill="FFFFFF"/>
          </w:rPr>
          <w:t>Proyecto Educativo Institucional</w:t>
        </w:r>
      </w:hyperlink>
    </w:p>
    <w:p w14:paraId="5CBD8A02" w14:textId="6E644D0F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18ED2C97" w14:textId="4CA63EDD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Consejo Superior</w:t>
      </w:r>
    </w:p>
    <w:p w14:paraId="20C67DAD" w14:textId="61C8DE8B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Acta 262</w:t>
      </w:r>
    </w:p>
    <w:p w14:paraId="720E5A07" w14:textId="2BA0AF16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4E69B23D" w14:textId="4192BB09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Resolución CS-113 de 9 de diciembre de 2009</w:t>
      </w:r>
    </w:p>
    <w:p w14:paraId="383F7A57" w14:textId="208BE22F" w:rsidR="00F3743D" w:rsidRDefault="00F3743D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3B6242F3" w14:textId="23228F1C" w:rsidR="00F3743D" w:rsidRPr="00F3743D" w:rsidRDefault="00F3743D" w:rsidP="00F3743D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El numeral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3.2.1 </w:t>
      </w:r>
      <w:r w:rsidRPr="00C61149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POLÍTICAS DE DOCENCIA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del PEI, señala que:</w:t>
      </w:r>
    </w:p>
    <w:p w14:paraId="3A91FE2B" w14:textId="77777777" w:rsidR="00F3743D" w:rsidRPr="00F3743D" w:rsidRDefault="00F3743D" w:rsidP="00F3743D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35BAED64" w14:textId="66946C04" w:rsidR="00F3743D" w:rsidRDefault="00F3743D" w:rsidP="00F3743D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El quehacer institucional de la función docente está orientado por las siguientes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políticas:</w:t>
      </w:r>
    </w:p>
    <w:p w14:paraId="6700C11F" w14:textId="77777777" w:rsidR="00F3743D" w:rsidRPr="00F3743D" w:rsidRDefault="00F3743D" w:rsidP="00F3743D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6052096" w14:textId="6322BA8A" w:rsidR="00F3743D" w:rsidRPr="00F3743D" w:rsidRDefault="00F3743D" w:rsidP="00F3743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El desarrollo de una propuesta pedagógica fundamentada en la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responsabilidad que tiene el estudiante frente a su proceso de aprendizaje.</w:t>
      </w:r>
    </w:p>
    <w:p w14:paraId="22F70D23" w14:textId="1F7E0A44" w:rsidR="00F3743D" w:rsidRPr="00F3743D" w:rsidRDefault="00F3743D" w:rsidP="00F3743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La construcción de currículos coherentes, pertinentes, flexibles e</w:t>
      </w:r>
      <w:r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interdisciplinarios.</w:t>
      </w:r>
    </w:p>
    <w:p w14:paraId="29540EF3" w14:textId="7E3E6CFB" w:rsidR="00F3743D" w:rsidRPr="00F3743D" w:rsidRDefault="00F3743D" w:rsidP="00F3743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La conformación de una comunidad académica profesoral con calidad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humana y con formación disciplinar, profesional y pedagógica; capaz de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asumir responsabilidades de docencia, investigación, proyección social y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administración educativa.</w:t>
      </w:r>
    </w:p>
    <w:p w14:paraId="3F24C56A" w14:textId="4B8F5DD7" w:rsidR="00F3743D" w:rsidRPr="00F3743D" w:rsidRDefault="00F3743D" w:rsidP="00F3743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El diseño y ejecución de estrategias de acompañamiento integral a los</w:t>
      </w:r>
      <w:r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estudiantes.</w:t>
      </w:r>
    </w:p>
    <w:p w14:paraId="3170E0CB" w14:textId="5C563F9C" w:rsidR="00F3743D" w:rsidRDefault="00F3743D" w:rsidP="00F3743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La formación de profesionales con sólidos conocimientos, capaces de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innovar y de utilizar las herramientas tecnológicas para que su acción sea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F3743D">
        <w:rPr>
          <w:rFonts w:ascii="Arial Narrow" w:hAnsi="Arial Narrow" w:cs="Arial"/>
          <w:color w:val="000000" w:themeColor="text1"/>
          <w:shd w:val="clear" w:color="auto" w:fill="FFFFFF"/>
        </w:rPr>
        <w:t>competitiva y puedan aportar al desarrollo social y económico.</w:t>
      </w:r>
    </w:p>
    <w:p w14:paraId="6E560574" w14:textId="77777777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BC7B93E" w14:textId="744C8804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hd w:val="clear" w:color="auto" w:fill="FFFFFF"/>
        </w:rPr>
        <w:t xml:space="preserve">El numeral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3.3 </w:t>
      </w:r>
      <w:r w:rsidRPr="00C61149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PRINCIPIOS PEDAGÓGICOS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del PEI</w:t>
      </w:r>
      <w:r>
        <w:rPr>
          <w:rFonts w:ascii="Arial Narrow" w:hAnsi="Arial Narrow" w:cs="Arial"/>
          <w:color w:val="000000" w:themeColor="text1"/>
          <w:shd w:val="clear" w:color="auto" w:fill="FFFFFF"/>
        </w:rPr>
        <w:t>:</w:t>
      </w:r>
    </w:p>
    <w:p w14:paraId="370AF990" w14:textId="77777777" w:rsidR="00C61149" w:rsidRP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81A517E" w14:textId="2C581576" w:rsidR="00C61149" w:rsidRPr="00C61149" w:rsidRDefault="00C61149" w:rsidP="00C6114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estudiante como sujeto constructor de su propia realización.</w:t>
      </w:r>
    </w:p>
    <w:p w14:paraId="04B5440A" w14:textId="7E6CB534" w:rsidR="00C61149" w:rsidRPr="00C61149" w:rsidRDefault="00C61149" w:rsidP="00C6114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aprendizaje permanente como centro de la formación.</w:t>
      </w:r>
    </w:p>
    <w:p w14:paraId="38FFF160" w14:textId="152BE3F4" w:rsidR="00C61149" w:rsidRPr="00C61149" w:rsidRDefault="00C61149" w:rsidP="00C6114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docente como orientador y acompañante del proceso formativo.</w:t>
      </w:r>
    </w:p>
    <w:p w14:paraId="32E9B3BB" w14:textId="77777777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74C87ED" w14:textId="77777777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4DDBBD20" w14:textId="7360B717" w:rsidR="00C61149" w:rsidRP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hd w:val="clear" w:color="auto" w:fill="FFFFFF"/>
        </w:rPr>
        <w:t xml:space="preserve">El numeral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3.4 </w:t>
      </w:r>
      <w:r w:rsidRPr="00C61149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LINEAMIENTOS PEDAGÓGICOS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del PEI:</w:t>
      </w:r>
    </w:p>
    <w:p w14:paraId="2F6F14A0" w14:textId="77777777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6FA58AEC" w14:textId="58658C91" w:rsidR="00C61149" w:rsidRPr="00C61149" w:rsidRDefault="00C61149" w:rsidP="00C6114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Los procesos pedagógicos incentivan la autonomía y el trabajo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independiente del estudiante.</w:t>
      </w:r>
    </w:p>
    <w:p w14:paraId="7FBF5F2F" w14:textId="6D49436A" w:rsidR="00C61149" w:rsidRPr="00C61149" w:rsidRDefault="00C61149" w:rsidP="00C6114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formación promueve el desarrollo de competencias profesionales y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ciudadanas en los estudiantes.</w:t>
      </w:r>
    </w:p>
    <w:p w14:paraId="615AB7A4" w14:textId="3846049C" w:rsidR="00C61149" w:rsidRPr="00C61149" w:rsidRDefault="00C61149" w:rsidP="00C6114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evaluación continua es parte del proceso de aprendizaje, aporta a la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formación del estudiante y determina su promoción académica.</w:t>
      </w:r>
    </w:p>
    <w:p w14:paraId="7A320BC7" w14:textId="3D738416" w:rsidR="00C61149" w:rsidRPr="00C61149" w:rsidRDefault="00C61149" w:rsidP="00C6114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acompañamiento integral a los estudiantes en su proceso formativo como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característica propia de la educación lasallista.</w:t>
      </w:r>
    </w:p>
    <w:p w14:paraId="139F17A9" w14:textId="595B75CD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4C31749" w14:textId="77777777" w:rsidR="00C61149" w:rsidRP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6CFAD4CA" w14:textId="3A035169" w:rsid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hd w:val="clear" w:color="auto" w:fill="FFFFFF"/>
        </w:rPr>
        <w:t xml:space="preserve">El numeral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3.5 </w:t>
      </w:r>
      <w:r w:rsidRPr="00C61149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LINEAMIENTOS CURRICULARES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del PEI</w:t>
      </w:r>
      <w:r>
        <w:rPr>
          <w:rFonts w:ascii="Arial Narrow" w:hAnsi="Arial Narrow" w:cs="Arial"/>
          <w:color w:val="000000" w:themeColor="text1"/>
          <w:shd w:val="clear" w:color="auto" w:fill="FFFFFF"/>
        </w:rPr>
        <w:t>:</w:t>
      </w:r>
    </w:p>
    <w:p w14:paraId="2C57004A" w14:textId="77777777" w:rsidR="00C61149" w:rsidRPr="00C61149" w:rsidRDefault="00C61149" w:rsidP="00C61149">
      <w:p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04BDFB9" w14:textId="6472D925" w:rsidR="00C61149" w:rsidRPr="00C61149" w:rsidRDefault="00C61149" w:rsidP="00C6114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objeto de estudio de cada disciplina orienta el diseño de los programas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académicos.</w:t>
      </w:r>
    </w:p>
    <w:p w14:paraId="6FFE0E94" w14:textId="5F204463" w:rsidR="00C61149" w:rsidRPr="00C61149" w:rsidRDefault="00C61149" w:rsidP="00C6114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pertinencia social y científica como contribución que hace la educación a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sociedad y al desarrollo de las disciplinas.</w:t>
      </w:r>
    </w:p>
    <w:p w14:paraId="787A00BD" w14:textId="494E87F1" w:rsidR="00C61149" w:rsidRPr="00C61149" w:rsidRDefault="00C61149" w:rsidP="00C6114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flexibilidad curricular facilita el avance del estudiante en el desarrollo de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su plan de formación y le permite profundizar en áreas de su particular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interés.</w:t>
      </w:r>
    </w:p>
    <w:p w14:paraId="3AC015DC" w14:textId="1241630D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lastRenderedPageBreak/>
        <w:t>La interdisciplinariedad propicia el diálogo, la cooperación y la interacción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entre distintas disciplinas en torno a problemas o situaciones de indagación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conjunta.</w:t>
      </w:r>
    </w:p>
    <w:p w14:paraId="220AC0CB" w14:textId="431E7136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análisis del contexto y el contacto permanente con los graduados y los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empleadores para la identificación de nuevas demandas de formación y la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actualización de los currículos.</w:t>
      </w:r>
    </w:p>
    <w:p w14:paraId="040EE917" w14:textId="5C3FE31A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formación humanística propende por la construcción de competencias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ciudadanas que dignifican al ser humano y le aporta a la sociedad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profesionales responsables consigo mismo, con los demás y con su entorno. </w:t>
      </w:r>
    </w:p>
    <w:p w14:paraId="0EEDF95C" w14:textId="70A7A441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a formación investigativa motiva la indagación, la creatividad y la crítica del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conocimiento.</w:t>
      </w:r>
    </w:p>
    <w:p w14:paraId="11D5A263" w14:textId="2B6F2D78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vinculación de la teoría y la práctica en la construcción de competencias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profesionales.</w:t>
      </w:r>
    </w:p>
    <w:p w14:paraId="22493209" w14:textId="47B1E9AE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formación incentiva y acompaña la cultura emprendedora para la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generación de ideas innovadoras y productivas.</w:t>
      </w:r>
    </w:p>
    <w:p w14:paraId="49EF3DBB" w14:textId="07A46DB1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incorporación de las tecnologías de la información y la comunicación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como herramientas de apoyo al proceso de aprendizaje.</w:t>
      </w:r>
    </w:p>
    <w:p w14:paraId="37A78081" w14:textId="6FE13866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El estímulo al desarrollo de competencias comunicativas en idiomas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diferentes al nativo.</w:t>
      </w:r>
    </w:p>
    <w:p w14:paraId="14DEAD09" w14:textId="02C8350B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formación de profesionales competitivos conforme a las exigencias de la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globalización.</w:t>
      </w:r>
    </w:p>
    <w:p w14:paraId="73D31890" w14:textId="434B8C77" w:rsidR="00C61149" w:rsidRPr="00C61149" w:rsidRDefault="00C61149" w:rsidP="00C6114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La contribución del Sistema de Bienestar Universitario en la formación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61149">
        <w:rPr>
          <w:rFonts w:ascii="Arial Narrow" w:hAnsi="Arial Narrow" w:cs="Arial"/>
          <w:color w:val="000000" w:themeColor="text1"/>
          <w:shd w:val="clear" w:color="auto" w:fill="FFFFFF"/>
        </w:rPr>
        <w:t>integral del estudiante.</w:t>
      </w:r>
    </w:p>
    <w:p w14:paraId="47850697" w14:textId="555AA28D" w:rsidR="009F6633" w:rsidRPr="00F3743D" w:rsidRDefault="009F6633" w:rsidP="00211041">
      <w:pPr>
        <w:spacing w:after="0" w:line="240" w:lineRule="auto"/>
        <w:rPr>
          <w:rFonts w:ascii="Arial Narrow" w:hAnsi="Arial Narrow"/>
        </w:rPr>
      </w:pPr>
    </w:p>
    <w:p w14:paraId="6365851E" w14:textId="48B0BFC4" w:rsidR="00203FB3" w:rsidRPr="009822CF" w:rsidRDefault="00203FB3" w:rsidP="00211041">
      <w:pPr>
        <w:spacing w:after="0" w:line="240" w:lineRule="auto"/>
        <w:rPr>
          <w:rFonts w:ascii="Arial Narrow" w:hAnsi="Arial Narrow"/>
        </w:rPr>
      </w:pPr>
    </w:p>
    <w:sectPr w:rsidR="00203FB3" w:rsidRPr="00982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0932" w14:textId="77777777" w:rsidR="00203FB3" w:rsidRDefault="00203FB3" w:rsidP="00203FB3">
      <w:pPr>
        <w:spacing w:after="0" w:line="240" w:lineRule="auto"/>
      </w:pPr>
      <w:r>
        <w:separator/>
      </w:r>
    </w:p>
  </w:endnote>
  <w:endnote w:type="continuationSeparator" w:id="0">
    <w:p w14:paraId="7F0D6580" w14:textId="77777777" w:rsidR="00203FB3" w:rsidRDefault="00203FB3" w:rsidP="002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9FE" w14:textId="77777777" w:rsidR="00203FB3" w:rsidRDefault="00203FB3" w:rsidP="00203FB3">
      <w:pPr>
        <w:spacing w:after="0" w:line="240" w:lineRule="auto"/>
      </w:pPr>
      <w:r>
        <w:separator/>
      </w:r>
    </w:p>
  </w:footnote>
  <w:footnote w:type="continuationSeparator" w:id="0">
    <w:p w14:paraId="1C42073F" w14:textId="77777777" w:rsidR="00203FB3" w:rsidRDefault="00203FB3" w:rsidP="002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3D"/>
    <w:multiLevelType w:val="hybridMultilevel"/>
    <w:tmpl w:val="7FEE5D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372"/>
    <w:multiLevelType w:val="hybridMultilevel"/>
    <w:tmpl w:val="408EEC9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6FF4"/>
    <w:multiLevelType w:val="hybridMultilevel"/>
    <w:tmpl w:val="430482D6"/>
    <w:name w:val="WW8Num4"/>
    <w:lvl w:ilvl="0" w:tplc="EE3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82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3E8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C4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804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D0D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C44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60A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C7477B"/>
    <w:multiLevelType w:val="hybridMultilevel"/>
    <w:tmpl w:val="07C432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853"/>
    <w:multiLevelType w:val="hybridMultilevel"/>
    <w:tmpl w:val="E91EA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3B9F"/>
    <w:multiLevelType w:val="hybridMultilevel"/>
    <w:tmpl w:val="F01644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C09"/>
    <w:multiLevelType w:val="hybridMultilevel"/>
    <w:tmpl w:val="073242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FE3"/>
    <w:multiLevelType w:val="hybridMultilevel"/>
    <w:tmpl w:val="A636D800"/>
    <w:lvl w:ilvl="0" w:tplc="852AFACA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2A671D"/>
    <w:multiLevelType w:val="multilevel"/>
    <w:tmpl w:val="FE883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1B3F2E"/>
    <w:multiLevelType w:val="hybridMultilevel"/>
    <w:tmpl w:val="C23E6158"/>
    <w:lvl w:ilvl="0" w:tplc="4DF2CD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4E2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2" w:tplc="9E466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6A4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6ED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DCC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B2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BE9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D4E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0B"/>
    <w:rsid w:val="000A58E8"/>
    <w:rsid w:val="000E0CDD"/>
    <w:rsid w:val="00203FB3"/>
    <w:rsid w:val="00211041"/>
    <w:rsid w:val="00236E6A"/>
    <w:rsid w:val="00415BB1"/>
    <w:rsid w:val="004E750B"/>
    <w:rsid w:val="005B2D34"/>
    <w:rsid w:val="007175E0"/>
    <w:rsid w:val="00745FDD"/>
    <w:rsid w:val="007F6637"/>
    <w:rsid w:val="00840362"/>
    <w:rsid w:val="00907AFB"/>
    <w:rsid w:val="009822CF"/>
    <w:rsid w:val="009F6633"/>
    <w:rsid w:val="00A12312"/>
    <w:rsid w:val="00A508B2"/>
    <w:rsid w:val="00AD2F97"/>
    <w:rsid w:val="00C322EE"/>
    <w:rsid w:val="00C567A6"/>
    <w:rsid w:val="00C61149"/>
    <w:rsid w:val="00CE6E18"/>
    <w:rsid w:val="00DF7081"/>
    <w:rsid w:val="00F10004"/>
    <w:rsid w:val="00F3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AB58"/>
  <w15:chartTrackingRefBased/>
  <w15:docId w15:val="{5D4C06BF-B227-4121-AA13-20CF7C0A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0B"/>
  </w:style>
  <w:style w:type="paragraph" w:styleId="Ttulo3">
    <w:name w:val="heading 3"/>
    <w:aliases w:val="TITULO 2,2 Título 3 Car Car,2 Título 3"/>
    <w:basedOn w:val="Normal"/>
    <w:next w:val="Normal"/>
    <w:link w:val="Ttulo3Car"/>
    <w:unhideWhenUsed/>
    <w:qFormat/>
    <w:rsid w:val="00203FB3"/>
    <w:pPr>
      <w:keepNext/>
      <w:keepLines/>
      <w:spacing w:after="0" w:line="360" w:lineRule="auto"/>
      <w:outlineLvl w:val="2"/>
    </w:pPr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F97"/>
    <w:rPr>
      <w:color w:val="605E5C"/>
      <w:shd w:val="clear" w:color="auto" w:fill="E1DFDD"/>
    </w:rPr>
  </w:style>
  <w:style w:type="character" w:customStyle="1" w:styleId="Ttulo3Car">
    <w:name w:val="Título 3 Car"/>
    <w:aliases w:val="TITULO 2 Car,2 Título 3 Car Car Car,2 Título 3 Car"/>
    <w:basedOn w:val="Fuentedeprrafopredeter"/>
    <w:link w:val="Ttulo3"/>
    <w:rsid w:val="00203FB3"/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203FB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styleId="Textonotapie">
    <w:name w:val="footnote text"/>
    <w:aliases w:val="Nota a pie/Bibliog Car Car,Nota a pie/Bibliog Car"/>
    <w:basedOn w:val="Normal"/>
    <w:link w:val="TextonotapieCar"/>
    <w:uiPriority w:val="99"/>
    <w:qFormat/>
    <w:rsid w:val="00203F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customStyle="1" w:styleId="TextonotapieCar">
    <w:name w:val="Texto nota pie Car"/>
    <w:aliases w:val="Nota a pie/Bibliog Car Car Car,Nota a pie/Bibliog Car Car1"/>
    <w:basedOn w:val="Fuentedeprrafopredeter"/>
    <w:link w:val="Textonotapie"/>
    <w:uiPriority w:val="99"/>
    <w:rsid w:val="00203FB3"/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styleId="Refdenotaalpie">
    <w:name w:val="footnote reference"/>
    <w:uiPriority w:val="99"/>
    <w:rsid w:val="00203FB3"/>
    <w:rPr>
      <w:vertAlign w:val="superscript"/>
    </w:rPr>
  </w:style>
  <w:style w:type="character" w:customStyle="1" w:styleId="DescripcinCar">
    <w:name w:val="Descripción Car"/>
    <w:link w:val="Descripcin"/>
    <w:uiPriority w:val="35"/>
    <w:locked/>
    <w:rsid w:val="00203FB3"/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Default">
    <w:name w:val="Default"/>
    <w:rsid w:val="00203F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3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lasallista.edu.co/wp-content/uploads/2021/03/Proyecto-Educativo-Institucio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MERCEDES DE LA TORRE URAN</dc:creator>
  <cp:keywords/>
  <dc:description/>
  <cp:lastModifiedBy>LUCIA MERCEDES DE LA TORRE URAN</cp:lastModifiedBy>
  <cp:revision>12</cp:revision>
  <dcterms:created xsi:type="dcterms:W3CDTF">2021-06-15T13:49:00Z</dcterms:created>
  <dcterms:modified xsi:type="dcterms:W3CDTF">2021-06-17T16:55:00Z</dcterms:modified>
</cp:coreProperties>
</file>